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8F289" w14:textId="282DE19E" w:rsidR="004F740B" w:rsidRPr="003F02E1" w:rsidRDefault="004F740B" w:rsidP="004F740B">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9</w:t>
      </w:r>
      <w:r w:rsidR="00731F37">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F02E1" w:rsidRPr="003F02E1">
        <w:rPr>
          <w:rFonts w:ascii="Arial" w:hAnsi="Arial" w:cs="Arial"/>
          <w:b/>
          <w:sz w:val="24"/>
          <w:szCs w:val="24"/>
        </w:rPr>
        <w:t>RP-213455</w:t>
      </w:r>
    </w:p>
    <w:p w14:paraId="40ED6802" w14:textId="129E5149" w:rsidR="004F740B" w:rsidRPr="004B566C" w:rsidRDefault="004F740B" w:rsidP="004F740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w:t>
      </w:r>
      <w:r w:rsidR="00731F37">
        <w:rPr>
          <w:rFonts w:ascii="Arial" w:hAnsi="Arial" w:cs="Arial"/>
          <w:b/>
          <w:sz w:val="24"/>
        </w:rPr>
        <w:t xml:space="preserve"> Dec</w:t>
      </w:r>
      <w:r>
        <w:rPr>
          <w:rFonts w:ascii="Arial" w:hAnsi="Arial" w:cs="Arial"/>
          <w:b/>
          <w:sz w:val="24"/>
        </w:rPr>
        <w:t xml:space="preserve">. </w:t>
      </w:r>
      <w:r w:rsidR="00731F37">
        <w:rPr>
          <w:rFonts w:ascii="Arial" w:hAnsi="Arial" w:cs="Arial"/>
          <w:b/>
          <w:sz w:val="24"/>
        </w:rPr>
        <w:t>06</w:t>
      </w:r>
      <w:r>
        <w:rPr>
          <w:rFonts w:ascii="Arial" w:hAnsi="Arial" w:cs="Arial"/>
          <w:b/>
          <w:sz w:val="24"/>
        </w:rPr>
        <w:t>-17</w:t>
      </w:r>
      <w:r w:rsidRPr="001A659D">
        <w:rPr>
          <w:rFonts w:ascii="Arial" w:hAnsi="Arial" w:cs="Arial"/>
          <w:b/>
          <w:sz w:val="24"/>
        </w:rPr>
        <w:t>, 20</w:t>
      </w:r>
      <w:r>
        <w:rPr>
          <w:rFonts w:ascii="Arial" w:hAnsi="Arial" w:cs="Arial"/>
          <w:b/>
          <w:sz w:val="24"/>
        </w:rPr>
        <w:t>21</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1FE773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8788BC5"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1</w:t>
            </w:r>
          </w:p>
        </w:tc>
      </w:tr>
      <w:tr w:rsidR="00B07F04" w:rsidRPr="008836AC" w14:paraId="79F5C21B" w14:textId="77777777" w:rsidTr="00871653">
        <w:tc>
          <w:tcPr>
            <w:tcW w:w="2436" w:type="dxa"/>
            <w:shd w:val="clear" w:color="auto" w:fill="auto"/>
          </w:tcPr>
          <w:p w14:paraId="513B255F" w14:textId="77777777" w:rsidR="00B07F04" w:rsidRPr="008836AC" w:rsidRDefault="00B07F04" w:rsidP="00B07F0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C71404A"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901D8C4" w:rsidR="00B07F04" w:rsidRPr="00B07F04" w:rsidRDefault="00B07F04" w:rsidP="00B07F04">
            <w:pPr>
              <w:tabs>
                <w:tab w:val="left" w:pos="567"/>
              </w:tabs>
              <w:spacing w:after="0"/>
              <w:rPr>
                <w:rFonts w:ascii="Arial" w:hAnsi="Arial" w:cs="Arial"/>
              </w:rPr>
            </w:pPr>
            <w:r w:rsidRPr="00B07F04">
              <w:rPr>
                <w:rFonts w:ascii="Arial" w:hAnsi="Arial" w:cs="Arial"/>
                <w:lang w:eastAsia="ja-JP"/>
              </w:rPr>
              <w:t>No</w:t>
            </w:r>
          </w:p>
        </w:tc>
        <w:tc>
          <w:tcPr>
            <w:tcW w:w="1842" w:type="dxa"/>
          </w:tcPr>
          <w:p w14:paraId="588719BF"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4B916B9A"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Yes</w:t>
            </w:r>
          </w:p>
        </w:tc>
        <w:tc>
          <w:tcPr>
            <w:tcW w:w="2309" w:type="dxa"/>
            <w:gridSpan w:val="2"/>
          </w:tcPr>
          <w:p w14:paraId="03BFEE6D" w14:textId="77777777" w:rsidR="00B07F04" w:rsidRPr="00B07F04" w:rsidRDefault="00B07F04" w:rsidP="00B07F04">
            <w:pPr>
              <w:tabs>
                <w:tab w:val="left" w:pos="567"/>
              </w:tabs>
              <w:spacing w:after="0"/>
              <w:rPr>
                <w:rFonts w:ascii="Arial" w:hAnsi="Arial" w:cs="Arial"/>
              </w:rPr>
            </w:pPr>
            <w:r w:rsidRPr="00B07F04">
              <w:rPr>
                <w:rFonts w:ascii="Arial" w:hAnsi="Arial" w:cs="Arial"/>
              </w:rPr>
              <w:t>Performance part:</w:t>
            </w:r>
          </w:p>
          <w:p w14:paraId="16D83285" w14:textId="4E2EDC4F"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c>
          <w:tcPr>
            <w:tcW w:w="1653" w:type="dxa"/>
          </w:tcPr>
          <w:p w14:paraId="63F820D2" w14:textId="77777777" w:rsidR="00B07F04" w:rsidRPr="00B07F04" w:rsidRDefault="00B07F04" w:rsidP="00B07F04">
            <w:pPr>
              <w:tabs>
                <w:tab w:val="left" w:pos="567"/>
              </w:tabs>
              <w:spacing w:after="0"/>
              <w:rPr>
                <w:rFonts w:ascii="Arial" w:hAnsi="Arial" w:cs="Arial"/>
              </w:rPr>
            </w:pPr>
            <w:r w:rsidRPr="00B07F04">
              <w:rPr>
                <w:rFonts w:ascii="Arial" w:hAnsi="Arial" w:cs="Arial"/>
              </w:rPr>
              <w:t>Testing part:</w:t>
            </w:r>
          </w:p>
          <w:p w14:paraId="2C4F517C" w14:textId="2A486D62"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5A28509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LTE_terr_bcast_bands_part1</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0766DC14" w:rsidR="003551A9" w:rsidRPr="008836AC" w:rsidRDefault="002449FF" w:rsidP="003551A9">
            <w:pPr>
              <w:tabs>
                <w:tab w:val="left" w:pos="567"/>
              </w:tabs>
              <w:spacing w:after="0"/>
              <w:rPr>
                <w:rFonts w:ascii="Arial" w:hAnsi="Arial" w:cs="Arial"/>
                <w:lang w:eastAsia="ja-JP"/>
              </w:rPr>
            </w:pPr>
            <w:r w:rsidRPr="002449FF">
              <w:rPr>
                <w:rFonts w:ascii="Arial" w:hAnsi="Arial" w:cs="Arial"/>
              </w:rPr>
              <w:t>911020</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655A2E85" w:rsidR="003551A9" w:rsidRPr="008836AC" w:rsidRDefault="004B5E87" w:rsidP="003551A9">
            <w:pPr>
              <w:tabs>
                <w:tab w:val="left" w:pos="567"/>
              </w:tabs>
              <w:spacing w:after="0"/>
              <w:rPr>
                <w:rFonts w:ascii="Arial" w:hAnsi="Arial" w:cs="Arial"/>
                <w:lang w:eastAsia="ja-JP"/>
              </w:rPr>
            </w:pPr>
            <w:r w:rsidRPr="004B5E87">
              <w:rPr>
                <w:rFonts w:ascii="Arial" w:hAnsi="Arial" w:cs="Arial"/>
              </w:rPr>
              <w:t>RP-211144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78412160"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C22964">
              <w:rPr>
                <w:rFonts w:ascii="Arial" w:hAnsi="Arial" w:cs="Arial"/>
                <w:lang w:eastAsia="ja-JP"/>
              </w:rPr>
              <w:t>2</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A0C1C3C"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90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32B855D5" w:rsidR="004F740B" w:rsidRPr="00ED2BBD" w:rsidRDefault="004F740B" w:rsidP="003551A9">
            <w:pPr>
              <w:tabs>
                <w:tab w:val="left" w:pos="567"/>
              </w:tabs>
              <w:spacing w:after="0"/>
              <w:rPr>
                <w:rFonts w:ascii="Arial" w:hAnsi="Arial" w:cs="Arial"/>
              </w:rPr>
            </w:pPr>
            <w:r w:rsidRPr="00ED2BBD">
              <w:rPr>
                <w:rFonts w:ascii="Arial" w:hAnsi="Arial" w:cs="Arial"/>
              </w:rPr>
              <w:t>RAN</w:t>
            </w:r>
            <w:r>
              <w:rPr>
                <w:rFonts w:ascii="Arial" w:hAnsi="Arial" w:cs="Arial"/>
              </w:rPr>
              <w:t>1</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8B2F57"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8B2F57"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3934A47A"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B713DA" w14:textId="77777777" w:rsidR="004B5E87" w:rsidRDefault="004B5E87" w:rsidP="004F740B">
      <w:pPr>
        <w:rPr>
          <w:lang w:eastAsia="ja-JP"/>
        </w:rPr>
      </w:pPr>
    </w:p>
    <w:p w14:paraId="0EF99AFF" w14:textId="73778CE2"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C50879" w14:textId="77777777" w:rsidR="004B5E87" w:rsidRDefault="004B5E87" w:rsidP="004B5E87">
      <w:pPr>
        <w:pStyle w:val="Heading4"/>
        <w:rPr>
          <w:lang w:eastAsia="ja-JP"/>
        </w:rPr>
      </w:pPr>
      <w:r>
        <w:rPr>
          <w:lang w:eastAsia="ja-JP"/>
        </w:rPr>
        <w:t>2.1.1</w:t>
      </w:r>
      <w:r>
        <w:rPr>
          <w:lang w:eastAsia="ja-JP"/>
        </w:rPr>
        <w:tab/>
        <w:t>Agreements</w:t>
      </w:r>
    </w:p>
    <w:p w14:paraId="4C64B6C9" w14:textId="77777777" w:rsidR="004B5E87" w:rsidRPr="004B5E87" w:rsidRDefault="004B5E87" w:rsidP="004B5E87">
      <w:pPr>
        <w:rPr>
          <w:lang w:eastAsia="ja-JP"/>
        </w:rPr>
      </w:pPr>
    </w:p>
    <w:p w14:paraId="3D291D51" w14:textId="1293DC06" w:rsidR="004B5E87" w:rsidRDefault="004B5E87" w:rsidP="004B5E87">
      <w:pPr>
        <w:rPr>
          <w:lang w:eastAsia="ja-JP"/>
        </w:rPr>
      </w:pPr>
      <w:r>
        <w:rPr>
          <w:lang w:eastAsia="ja-JP"/>
        </w:rPr>
        <w:t>The following agreements were reached in RAN1#106</w:t>
      </w:r>
      <w:r w:rsidR="00731F37">
        <w:rPr>
          <w:lang w:eastAsia="ja-JP"/>
        </w:rPr>
        <w:t>b</w:t>
      </w:r>
      <w:r>
        <w:rPr>
          <w:lang w:eastAsia="ja-JP"/>
        </w:rPr>
        <w:t>-e:</w:t>
      </w:r>
    </w:p>
    <w:p w14:paraId="3601A3B9" w14:textId="77777777" w:rsidR="00731F37" w:rsidRPr="00731F37" w:rsidRDefault="00731F37" w:rsidP="00731F37">
      <w:pPr>
        <w:rPr>
          <w:b/>
          <w:bCs/>
          <w:u w:val="single"/>
          <w:lang w:val="en-US"/>
        </w:rPr>
      </w:pPr>
      <w:r w:rsidRPr="00731F37">
        <w:rPr>
          <w:rStyle w:val="Strong"/>
          <w:b w:val="0"/>
          <w:bCs w:val="0"/>
          <w:u w:val="single"/>
          <w:lang w:val="en-US"/>
        </w:rPr>
        <w:t>Conclusion:</w:t>
      </w:r>
      <w:r w:rsidRPr="00731F37">
        <w:rPr>
          <w:b/>
          <w:bCs/>
          <w:u w:val="single"/>
          <w:lang w:val="en-US"/>
        </w:rPr>
        <w:t xml:space="preserve"> </w:t>
      </w:r>
    </w:p>
    <w:p w14:paraId="77F2C2A0" w14:textId="77777777" w:rsidR="00731F37" w:rsidRPr="00731F37" w:rsidRDefault="00731F37" w:rsidP="00731F37">
      <w:pPr>
        <w:rPr>
          <w:rStyle w:val="Strong"/>
          <w:rFonts w:ascii="Calibri" w:hAnsi="Calibri"/>
          <w:b w:val="0"/>
          <w:bCs w:val="0"/>
          <w:szCs w:val="22"/>
        </w:rPr>
      </w:pPr>
      <w:r w:rsidRPr="00731F37">
        <w:rPr>
          <w:rStyle w:val="Strong"/>
          <w:b w:val="0"/>
          <w:bCs w:val="0"/>
          <w:lang w:val="en-US"/>
        </w:rPr>
        <w:t xml:space="preserve">The input in </w:t>
      </w:r>
      <w:hyperlink r:id="rId12" w:history="1">
        <w:r w:rsidRPr="00731F37">
          <w:rPr>
            <w:rStyle w:val="Hyperlink"/>
            <w:b/>
            <w:bCs/>
            <w:lang w:val="en-US"/>
          </w:rPr>
          <w:t>R1-2108857</w:t>
        </w:r>
      </w:hyperlink>
      <w:r w:rsidRPr="00731F37">
        <w:rPr>
          <w:rStyle w:val="Strong"/>
          <w:b w:val="0"/>
          <w:bCs w:val="0"/>
          <w:lang w:val="en-US"/>
        </w:rPr>
        <w:t xml:space="preserve"> and </w:t>
      </w:r>
      <w:hyperlink r:id="rId13" w:history="1">
        <w:r w:rsidRPr="00731F37">
          <w:rPr>
            <w:rStyle w:val="Hyperlink"/>
            <w:b/>
            <w:bCs/>
            <w:lang w:val="en-US"/>
          </w:rPr>
          <w:t>R1-2110371</w:t>
        </w:r>
      </w:hyperlink>
      <w:r w:rsidRPr="00731F37">
        <w:rPr>
          <w:rStyle w:val="Strong"/>
          <w:b w:val="0"/>
          <w:bCs w:val="0"/>
          <w:lang w:val="en-US"/>
        </w:rPr>
        <w:t xml:space="preserve"> can be taken into account by specification editors when drafting the editor CRs</w:t>
      </w:r>
    </w:p>
    <w:p w14:paraId="37216CD6" w14:textId="77777777" w:rsidR="00731F37" w:rsidRPr="00731F37" w:rsidRDefault="00731F37" w:rsidP="00731F37">
      <w:pPr>
        <w:rPr>
          <w:rStyle w:val="Strong"/>
          <w:b w:val="0"/>
          <w:bCs w:val="0"/>
          <w:lang w:val="en-US"/>
        </w:rPr>
      </w:pPr>
    </w:p>
    <w:p w14:paraId="18591933" w14:textId="77777777" w:rsidR="00731F37" w:rsidRPr="00731F37" w:rsidRDefault="00731F37" w:rsidP="00731F37">
      <w:pPr>
        <w:rPr>
          <w:b/>
          <w:bCs/>
          <w:u w:val="single"/>
          <w:lang w:val="en-US"/>
        </w:rPr>
      </w:pPr>
      <w:r w:rsidRPr="00731F37">
        <w:rPr>
          <w:rStyle w:val="Strong"/>
          <w:b w:val="0"/>
          <w:bCs w:val="0"/>
          <w:u w:val="single"/>
          <w:lang w:val="en-US"/>
        </w:rPr>
        <w:t>Conclusion:</w:t>
      </w:r>
      <w:r w:rsidRPr="00731F37">
        <w:rPr>
          <w:b/>
          <w:bCs/>
          <w:u w:val="single"/>
          <w:lang w:val="en-US"/>
        </w:rPr>
        <w:t xml:space="preserve"> </w:t>
      </w:r>
    </w:p>
    <w:p w14:paraId="2D2869A2" w14:textId="77777777" w:rsidR="00731F37" w:rsidRPr="00731F37" w:rsidRDefault="00731F37" w:rsidP="00731F37">
      <w:pPr>
        <w:rPr>
          <w:rStyle w:val="Strong"/>
          <w:b w:val="0"/>
          <w:bCs w:val="0"/>
          <w:lang w:val="en-US"/>
        </w:rPr>
      </w:pPr>
      <w:r w:rsidRPr="00731F37">
        <w:rPr>
          <w:rStyle w:val="Strong"/>
          <w:b w:val="0"/>
          <w:bCs w:val="0"/>
          <w:lang w:val="en-US"/>
        </w:rPr>
        <w:t xml:space="preserve">The OFDM signal generation (Subclause 6.12 in TS 36.211) is modified by replacing N_RB^DL with N_RB^PMCH for the PMCH symbols belonging to MBSFN areas with </w:t>
      </w:r>
      <w:r w:rsidRPr="00731F37">
        <w:rPr>
          <w:rStyle w:val="Emphasis"/>
          <w:lang w:val="en-US"/>
        </w:rPr>
        <w:t>pmch-Bandwidth</w:t>
      </w:r>
      <w:r w:rsidRPr="00731F37">
        <w:rPr>
          <w:rStyle w:val="Strong"/>
          <w:b w:val="0"/>
          <w:bCs w:val="0"/>
          <w:lang w:val="en-US"/>
        </w:rPr>
        <w:t xml:space="preserve"> configured.</w:t>
      </w:r>
    </w:p>
    <w:p w14:paraId="026936DC" w14:textId="77777777" w:rsidR="00731F37" w:rsidRPr="009717FA" w:rsidRDefault="00731F37" w:rsidP="00731F37"/>
    <w:p w14:paraId="196A4295" w14:textId="77777777" w:rsidR="00731F37" w:rsidRPr="009717FA" w:rsidRDefault="00731F37" w:rsidP="00731F37">
      <w:pPr>
        <w:rPr>
          <w:lang w:val="en-US"/>
        </w:rPr>
      </w:pPr>
      <w:r w:rsidRPr="009717FA">
        <w:rPr>
          <w:highlight w:val="green"/>
          <w:lang w:val="en-US"/>
        </w:rPr>
        <w:t>Agreement</w:t>
      </w:r>
    </w:p>
    <w:p w14:paraId="1C890B80" w14:textId="77777777" w:rsidR="00731F37" w:rsidRPr="009717FA" w:rsidRDefault="00731F37" w:rsidP="00731F37">
      <w:pPr>
        <w:rPr>
          <w:lang w:val="en-US"/>
        </w:rPr>
      </w:pPr>
      <w:r w:rsidRPr="009717FA">
        <w:rPr>
          <w:lang w:val="en-US"/>
        </w:rPr>
        <w:t>For the purpose of ROM MBMS interest indication, if the UE receives a 6/7/8MHz PMCH, for the corresponding serving cell:</w:t>
      </w:r>
    </w:p>
    <w:p w14:paraId="508AEEE9" w14:textId="77777777" w:rsidR="00731F37" w:rsidRPr="009717FA" w:rsidRDefault="00731F37" w:rsidP="00731F37">
      <w:pPr>
        <w:pStyle w:val="ListParagraph"/>
        <w:widowControl/>
        <w:numPr>
          <w:ilvl w:val="0"/>
          <w:numId w:val="30"/>
        </w:numPr>
        <w:ind w:leftChars="0"/>
        <w:jc w:val="left"/>
      </w:pPr>
      <w:r w:rsidRPr="009717FA">
        <w:t>The UE reports a bandwidth of 10MHz (</w:t>
      </w:r>
      <w:r w:rsidRPr="009717FA">
        <w:rPr>
          <w:i/>
          <w:iCs/>
        </w:rPr>
        <w:t>mbms-Bandwidth</w:t>
      </w:r>
      <w:r w:rsidRPr="009717FA">
        <w:t xml:space="preserve"> = n50)</w:t>
      </w:r>
    </w:p>
    <w:p w14:paraId="7CFC506F" w14:textId="77777777" w:rsidR="00731F37" w:rsidRPr="009717FA" w:rsidRDefault="00731F37" w:rsidP="00731F37">
      <w:pPr>
        <w:pStyle w:val="ListParagraph"/>
        <w:widowControl/>
        <w:numPr>
          <w:ilvl w:val="0"/>
          <w:numId w:val="30"/>
        </w:numPr>
        <w:ind w:leftChars="0"/>
        <w:jc w:val="left"/>
      </w:pPr>
      <w:r w:rsidRPr="009717FA">
        <w:t>The UE assumes Bc=10MHz</w:t>
      </w:r>
    </w:p>
    <w:p w14:paraId="42B6949D" w14:textId="61F8831A" w:rsidR="004B5E87" w:rsidRPr="004023CF" w:rsidRDefault="004B5E87" w:rsidP="00731F37">
      <w:pPr>
        <w:tabs>
          <w:tab w:val="left" w:pos="3600"/>
        </w:tabs>
        <w:overflowPunct/>
        <w:autoSpaceDE/>
        <w:autoSpaceDN/>
        <w:adjustRightInd/>
        <w:spacing w:after="0"/>
        <w:ind w:left="720"/>
        <w:textAlignment w:val="auto"/>
        <w:rPr>
          <w:bCs/>
          <w:lang w:val="en-US" w:eastAsia="x-none"/>
        </w:rPr>
      </w:pPr>
    </w:p>
    <w:p w14:paraId="2085661B" w14:textId="77777777" w:rsidR="004B5E87" w:rsidRPr="004B5E87" w:rsidRDefault="004B5E87" w:rsidP="004B5E87">
      <w:pPr>
        <w:rPr>
          <w:lang w:val="en-US" w:eastAsia="ja-JP"/>
        </w:rPr>
      </w:pPr>
    </w:p>
    <w:p w14:paraId="4CC6B9DC" w14:textId="2C4FD555" w:rsidR="002449FF" w:rsidRDefault="002449FF" w:rsidP="002449FF">
      <w:pPr>
        <w:pStyle w:val="Heading4"/>
        <w:rPr>
          <w:lang w:eastAsia="ja-JP"/>
        </w:rPr>
      </w:pPr>
      <w:r>
        <w:rPr>
          <w:lang w:eastAsia="ja-JP"/>
        </w:rPr>
        <w:t>2.1.</w:t>
      </w:r>
      <w:r w:rsidR="004B5E87">
        <w:rPr>
          <w:lang w:eastAsia="ja-JP"/>
        </w:rPr>
        <w:t>2</w:t>
      </w:r>
      <w:r>
        <w:rPr>
          <w:lang w:eastAsia="ja-JP"/>
        </w:rPr>
        <w:tab/>
        <w:t>Remaining Open issues</w:t>
      </w:r>
    </w:p>
    <w:p w14:paraId="252CCE42" w14:textId="603FCAF3" w:rsidR="002449FF" w:rsidRPr="00DD315C" w:rsidRDefault="003F02E1" w:rsidP="002449FF">
      <w:pPr>
        <w:numPr>
          <w:ilvl w:val="1"/>
          <w:numId w:val="23"/>
        </w:numPr>
        <w:spacing w:after="0"/>
        <w:rPr>
          <w:bCs/>
          <w:lang w:val="en-US"/>
        </w:rPr>
      </w:pPr>
      <w:r>
        <w:rPr>
          <w:bCs/>
          <w:lang w:val="en-US"/>
        </w:rPr>
        <w:t>None</w:t>
      </w:r>
    </w:p>
    <w:p w14:paraId="0F1009AF" w14:textId="77777777" w:rsidR="002449FF" w:rsidRPr="002449FF" w:rsidRDefault="002449FF" w:rsidP="002449FF">
      <w:pPr>
        <w:rPr>
          <w:lang w:val="en-US" w:eastAsia="ja-JP"/>
        </w:rPr>
      </w:pPr>
    </w:p>
    <w:p w14:paraId="0FA95C5C" w14:textId="4DDA6EEC"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081797" w14:textId="30639E08" w:rsidR="004B5E87" w:rsidRDefault="004B5E87" w:rsidP="004B5E87">
      <w:pPr>
        <w:pStyle w:val="Heading4"/>
        <w:rPr>
          <w:lang w:eastAsia="ja-JP"/>
        </w:rPr>
      </w:pPr>
      <w:r>
        <w:rPr>
          <w:lang w:eastAsia="ja-JP"/>
        </w:rPr>
        <w:t>2.2.1</w:t>
      </w:r>
      <w:r>
        <w:rPr>
          <w:lang w:eastAsia="ja-JP"/>
        </w:rPr>
        <w:tab/>
        <w:t>Agreements</w:t>
      </w:r>
    </w:p>
    <w:p w14:paraId="78B2651B" w14:textId="5F389858" w:rsidR="004B5E87" w:rsidRPr="004B5E87" w:rsidRDefault="004B5E87" w:rsidP="004B5E87">
      <w:pPr>
        <w:rPr>
          <w:lang w:eastAsia="ja-JP"/>
        </w:rPr>
      </w:pPr>
      <w:r>
        <w:rPr>
          <w:lang w:eastAsia="ja-JP"/>
        </w:rPr>
        <w:t>None</w:t>
      </w:r>
    </w:p>
    <w:p w14:paraId="5C7DAE81" w14:textId="19394CC0" w:rsidR="004B5E87" w:rsidRDefault="004B5E87" w:rsidP="004B5E87">
      <w:pPr>
        <w:pStyle w:val="Heading4"/>
        <w:rPr>
          <w:lang w:eastAsia="ja-JP"/>
        </w:rPr>
      </w:pPr>
      <w:r>
        <w:rPr>
          <w:lang w:eastAsia="ja-JP"/>
        </w:rPr>
        <w:t>2.2.2</w:t>
      </w:r>
      <w:r>
        <w:rPr>
          <w:lang w:eastAsia="ja-JP"/>
        </w:rPr>
        <w:tab/>
        <w:t xml:space="preserve">Remaining Open issues </w:t>
      </w:r>
    </w:p>
    <w:p w14:paraId="464220FD" w14:textId="75E5F2A4" w:rsidR="004B5E87" w:rsidRPr="004B5E87" w:rsidRDefault="004B5E87" w:rsidP="004B5E87">
      <w:pPr>
        <w:rPr>
          <w:lang w:eastAsia="ja-JP"/>
        </w:rPr>
      </w:pPr>
      <w:r>
        <w:rPr>
          <w:lang w:eastAsia="ja-JP"/>
        </w:rPr>
        <w:t>Approve changes to 36.331 to introduce signalling related to PMCH bandwidth</w:t>
      </w:r>
    </w:p>
    <w:p w14:paraId="4FDE36B7" w14:textId="77777777" w:rsidR="004B5E87" w:rsidRPr="004B5E87" w:rsidRDefault="004B5E87" w:rsidP="004B5E87">
      <w:pPr>
        <w:rPr>
          <w:lang w:eastAsia="ja-JP"/>
        </w:rPr>
      </w:pP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C11C381" w14:textId="5A51843B" w:rsidR="004B5E87" w:rsidRDefault="004B5E87" w:rsidP="004B5E87">
      <w:pPr>
        <w:pStyle w:val="Heading4"/>
        <w:rPr>
          <w:lang w:eastAsia="ja-JP"/>
        </w:rPr>
      </w:pPr>
      <w:r>
        <w:rPr>
          <w:lang w:eastAsia="ja-JP"/>
        </w:rPr>
        <w:t>2.</w:t>
      </w:r>
      <w:r w:rsidR="00AE70E4">
        <w:rPr>
          <w:lang w:eastAsia="ja-JP"/>
        </w:rPr>
        <w:t>3</w:t>
      </w:r>
      <w:r>
        <w:rPr>
          <w:lang w:eastAsia="ja-JP"/>
        </w:rPr>
        <w:t>.1</w:t>
      </w:r>
      <w:r>
        <w:rPr>
          <w:lang w:eastAsia="ja-JP"/>
        </w:rPr>
        <w:tab/>
        <w:t>Agreements</w:t>
      </w:r>
    </w:p>
    <w:p w14:paraId="2085DB4C" w14:textId="77777777" w:rsidR="004B5E87" w:rsidRPr="004B5E87" w:rsidRDefault="004B5E87" w:rsidP="004B5E87">
      <w:pPr>
        <w:rPr>
          <w:lang w:eastAsia="ja-JP"/>
        </w:rPr>
      </w:pPr>
      <w:r>
        <w:rPr>
          <w:lang w:eastAsia="ja-JP"/>
        </w:rPr>
        <w:t>None</w:t>
      </w:r>
    </w:p>
    <w:p w14:paraId="4A3AA543" w14:textId="3F7F56EB" w:rsidR="004B5E87" w:rsidRDefault="004B5E87" w:rsidP="004B5E87">
      <w:pPr>
        <w:pStyle w:val="Heading4"/>
        <w:rPr>
          <w:lang w:eastAsia="ja-JP"/>
        </w:rPr>
      </w:pPr>
      <w:r>
        <w:rPr>
          <w:lang w:eastAsia="ja-JP"/>
        </w:rPr>
        <w:t>2.</w:t>
      </w:r>
      <w:r w:rsidR="00AE70E4">
        <w:rPr>
          <w:lang w:eastAsia="ja-JP"/>
        </w:rPr>
        <w:t>3</w:t>
      </w:r>
      <w:r>
        <w:rPr>
          <w:lang w:eastAsia="ja-JP"/>
        </w:rPr>
        <w:t>.2</w:t>
      </w:r>
      <w:r>
        <w:rPr>
          <w:lang w:eastAsia="ja-JP"/>
        </w:rPr>
        <w:tab/>
        <w:t xml:space="preserve">Remaining Open issues </w:t>
      </w:r>
    </w:p>
    <w:p w14:paraId="46E2CD16" w14:textId="042EFF68" w:rsidR="004B5E87" w:rsidRPr="004B5E87" w:rsidRDefault="004B5E87" w:rsidP="004B5E87">
      <w:pPr>
        <w:rPr>
          <w:lang w:eastAsia="ja-JP"/>
        </w:rPr>
      </w:pPr>
      <w:r>
        <w:rPr>
          <w:lang w:eastAsia="ja-JP"/>
        </w:rPr>
        <w:t>Approve changes to 36.443 to introduce signalling related to PMCH bandwidth</w:t>
      </w:r>
    </w:p>
    <w:p w14:paraId="1144E7EA" w14:textId="77777777" w:rsidR="002449FF" w:rsidRPr="004B5E87" w:rsidRDefault="002449FF" w:rsidP="002449FF">
      <w:pPr>
        <w:rPr>
          <w:lang w:eastAsia="ja-JP"/>
        </w:rPr>
      </w:pPr>
    </w:p>
    <w:p w14:paraId="732070D8" w14:textId="77777777" w:rsidR="005A6C96" w:rsidRDefault="005A6C96" w:rsidP="004F740B"/>
    <w:p w14:paraId="3E95F9B1"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p w14:paraId="4D1895A1" w14:textId="77777777" w:rsidR="00731F37" w:rsidRPr="00731F37" w:rsidRDefault="00731F37" w:rsidP="00731F37">
      <w:pPr>
        <w:rPr>
          <w:lang w:val="en-US"/>
        </w:rPr>
      </w:pPr>
      <w:r w:rsidRPr="00731F37">
        <w:rPr>
          <w:lang w:val="en-US"/>
        </w:rPr>
        <w:t>R1-2108857</w:t>
      </w:r>
      <w:r w:rsidRPr="00731F37">
        <w:rPr>
          <w:lang w:val="en-US"/>
        </w:rPr>
        <w:tab/>
        <w:t>TP on PMCH allocation and corresponding MBSFN reference signals</w:t>
      </w:r>
      <w:r w:rsidRPr="00731F37">
        <w:rPr>
          <w:lang w:val="en-US"/>
        </w:rPr>
        <w:tab/>
        <w:t>ZTE</w:t>
      </w:r>
    </w:p>
    <w:p w14:paraId="433124FE" w14:textId="77777777" w:rsidR="00731F37" w:rsidRPr="00731F37" w:rsidRDefault="00731F37" w:rsidP="00731F37">
      <w:pPr>
        <w:rPr>
          <w:lang w:val="en-US"/>
        </w:rPr>
      </w:pPr>
      <w:r w:rsidRPr="00731F37">
        <w:rPr>
          <w:lang w:val="en-US"/>
        </w:rPr>
        <w:t>R1-2109178</w:t>
      </w:r>
      <w:r w:rsidRPr="00731F37">
        <w:rPr>
          <w:lang w:val="en-US"/>
        </w:rPr>
        <w:tab/>
        <w:t>PMCH allocation of 6/7/8MHz</w:t>
      </w:r>
      <w:r w:rsidRPr="00731F37">
        <w:rPr>
          <w:lang w:val="en-US"/>
        </w:rPr>
        <w:tab/>
        <w:t>Qualcomm Incorporated</w:t>
      </w:r>
    </w:p>
    <w:p w14:paraId="4337D31E" w14:textId="0E875B44" w:rsidR="004B5E87" w:rsidRDefault="00731F37" w:rsidP="00731F37">
      <w:pPr>
        <w:rPr>
          <w:lang w:val="en-US"/>
        </w:rPr>
      </w:pPr>
      <w:r w:rsidRPr="00731F37">
        <w:rPr>
          <w:lang w:val="en-US"/>
        </w:rPr>
        <w:t>R1-2110371</w:t>
      </w:r>
      <w:r w:rsidRPr="00731F37">
        <w:rPr>
          <w:lang w:val="en-US"/>
        </w:rPr>
        <w:tab/>
        <w:t>Flexible PMCH bandwidth allocation for the 15KHz subcarrier spacing</w:t>
      </w:r>
      <w:r w:rsidRPr="00731F37">
        <w:rPr>
          <w:lang w:val="en-US"/>
        </w:rPr>
        <w:tab/>
        <w:t>Huawei, HiSilicon</w:t>
      </w:r>
    </w:p>
    <w:p w14:paraId="79C50708" w14:textId="00989261" w:rsidR="00731F37" w:rsidRPr="00731F37" w:rsidRDefault="00731F37" w:rsidP="00731F37">
      <w:pPr>
        <w:rPr>
          <w:lang w:val="en-US"/>
        </w:rPr>
      </w:pPr>
      <w:r w:rsidRPr="00731F37">
        <w:rPr>
          <w:lang w:val="en-US"/>
        </w:rPr>
        <w:t>R1-2110542</w:t>
      </w:r>
      <w:r w:rsidRPr="00731F37">
        <w:rPr>
          <w:lang w:val="en-US"/>
        </w:rPr>
        <w:tab/>
        <w:t>Summary of [106bis-e-LTE-5G-Terr-Bcast-01]</w:t>
      </w:r>
      <w:r w:rsidRPr="00731F37">
        <w:rPr>
          <w:lang w:val="en-US"/>
        </w:rPr>
        <w:tab/>
        <w:t>Moderator (Qualcomm)</w:t>
      </w:r>
    </w:p>
    <w:sectPr w:rsidR="00731F37" w:rsidRPr="00731F37" w:rsidSect="006C090F">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C35E" w14:textId="77777777" w:rsidR="008B2F57" w:rsidRDefault="008B2F57">
      <w:r>
        <w:separator/>
      </w:r>
    </w:p>
  </w:endnote>
  <w:endnote w:type="continuationSeparator" w:id="0">
    <w:p w14:paraId="4320F73C" w14:textId="77777777" w:rsidR="008B2F57" w:rsidRDefault="008B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5917" w14:textId="77777777" w:rsidR="008B2F57" w:rsidRDefault="008B2F57">
      <w:r>
        <w:separator/>
      </w:r>
    </w:p>
  </w:footnote>
  <w:footnote w:type="continuationSeparator" w:id="0">
    <w:p w14:paraId="6A60801A" w14:textId="77777777" w:rsidR="008B2F57" w:rsidRDefault="008B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C0439"/>
    <w:multiLevelType w:val="hybridMultilevel"/>
    <w:tmpl w:val="4126A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30"/>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84737"/>
    <w:rsid w:val="0039390A"/>
    <w:rsid w:val="00394AB0"/>
    <w:rsid w:val="00396252"/>
    <w:rsid w:val="003A4B47"/>
    <w:rsid w:val="003B24AF"/>
    <w:rsid w:val="003B7182"/>
    <w:rsid w:val="003D5036"/>
    <w:rsid w:val="003D764D"/>
    <w:rsid w:val="003E0D39"/>
    <w:rsid w:val="003E3A1A"/>
    <w:rsid w:val="003F02E1"/>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1F3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F57"/>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07F04"/>
    <w:rsid w:val="00B10710"/>
    <w:rsid w:val="00B208FA"/>
    <w:rsid w:val="00B24BF6"/>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2964"/>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38F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Strong">
    <w:name w:val="Strong"/>
    <w:basedOn w:val="DefaultParagraphFont"/>
    <w:uiPriority w:val="22"/>
    <w:qFormat/>
    <w:rsid w:val="00731F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1573797">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MyMeetings\TSGR1_106b-e\Docs\R1-211037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MyMeetings\TSGR1_106b-e\Docs\R1-210885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oland.Beutler@swr.de"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55DE5-F029-42FB-BC2A-29D5BE199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553</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(QC)</cp:lastModifiedBy>
  <cp:revision>7</cp:revision>
  <dcterms:created xsi:type="dcterms:W3CDTF">2021-09-03T00:45:00Z</dcterms:created>
  <dcterms:modified xsi:type="dcterms:W3CDTF">2021-11-29T17:05:00Z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